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AC1663" w:rsidRPr="00AC1663" w:rsidTr="00AC1663">
        <w:trPr>
          <w:tblCellSpacing w:w="0" w:type="dxa"/>
        </w:trPr>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信息名称：</w:t>
            </w:r>
          </w:p>
        </w:tc>
        <w:tc>
          <w:tcPr>
            <w:tcW w:w="0" w:type="auto"/>
            <w:gridSpan w:val="5"/>
            <w:hideMark/>
          </w:tcPr>
          <w:p w:rsidR="00AC1663" w:rsidRPr="00AC1663" w:rsidRDefault="00AC1663" w:rsidP="00AC1663">
            <w:pPr>
              <w:widowControl/>
              <w:spacing w:line="375" w:lineRule="atLeast"/>
              <w:jc w:val="left"/>
              <w:rPr>
                <w:rFonts w:ascii="宋体" w:hAnsi="宋体" w:cs="宋体"/>
                <w:b/>
                <w:bCs/>
                <w:color w:val="CC3300"/>
                <w:kern w:val="0"/>
                <w:szCs w:val="21"/>
              </w:rPr>
            </w:pPr>
            <w:r w:rsidRPr="00AC1663">
              <w:rPr>
                <w:rFonts w:ascii="宋体" w:hAnsi="宋体" w:cs="宋体" w:hint="eastAsia"/>
                <w:b/>
                <w:bCs/>
                <w:color w:val="CC3300"/>
                <w:kern w:val="0"/>
                <w:szCs w:val="21"/>
              </w:rPr>
              <w:t>教育部关于积极推进高等职业教育考试招生制度改革的指导意见</w:t>
            </w:r>
          </w:p>
        </w:tc>
      </w:tr>
      <w:tr w:rsidR="00AC1663" w:rsidRPr="00AC1663" w:rsidTr="00AC1663">
        <w:trPr>
          <w:tblCellSpacing w:w="0" w:type="dxa"/>
        </w:trPr>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信息索引：</w:t>
            </w:r>
          </w:p>
        </w:tc>
        <w:tc>
          <w:tcPr>
            <w:tcW w:w="1000" w:type="pct"/>
            <w:hideMark/>
          </w:tcPr>
          <w:p w:rsidR="00AC1663" w:rsidRPr="00AC1663" w:rsidRDefault="00AC1663" w:rsidP="00AC1663">
            <w:pPr>
              <w:widowControl/>
              <w:spacing w:line="375" w:lineRule="atLeast"/>
              <w:jc w:val="left"/>
              <w:rPr>
                <w:rFonts w:ascii="宋体" w:hAnsi="宋体" w:cs="宋体"/>
                <w:color w:val="4B4B4B"/>
                <w:kern w:val="0"/>
                <w:szCs w:val="21"/>
              </w:rPr>
            </w:pPr>
            <w:r w:rsidRPr="00AC1663">
              <w:rPr>
                <w:rFonts w:ascii="宋体" w:hAnsi="宋体" w:cs="宋体" w:hint="eastAsia"/>
                <w:color w:val="4B4B4B"/>
                <w:kern w:val="0"/>
                <w:szCs w:val="21"/>
              </w:rPr>
              <w:t>360A15-06-2013-0009-1</w:t>
            </w:r>
          </w:p>
        </w:tc>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生成日期：</w:t>
            </w:r>
          </w:p>
        </w:tc>
        <w:tc>
          <w:tcPr>
            <w:tcW w:w="1050" w:type="pct"/>
            <w:hideMark/>
          </w:tcPr>
          <w:p w:rsidR="00AC1663" w:rsidRPr="00AC1663" w:rsidRDefault="00AC1663" w:rsidP="00AC1663">
            <w:pPr>
              <w:widowControl/>
              <w:spacing w:line="375" w:lineRule="atLeast"/>
              <w:jc w:val="left"/>
              <w:rPr>
                <w:rFonts w:ascii="宋体" w:hAnsi="宋体" w:cs="宋体"/>
                <w:color w:val="4B4B4B"/>
                <w:kern w:val="0"/>
                <w:szCs w:val="21"/>
              </w:rPr>
            </w:pPr>
            <w:r w:rsidRPr="00AC1663">
              <w:rPr>
                <w:rFonts w:ascii="宋体" w:hAnsi="宋体" w:cs="宋体" w:hint="eastAsia"/>
                <w:color w:val="4B4B4B"/>
                <w:kern w:val="0"/>
                <w:szCs w:val="21"/>
              </w:rPr>
              <w:t>2013-05-08</w:t>
            </w:r>
          </w:p>
        </w:tc>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发文机构：</w:t>
            </w:r>
          </w:p>
        </w:tc>
        <w:tc>
          <w:tcPr>
            <w:tcW w:w="1700" w:type="pct"/>
            <w:hideMark/>
          </w:tcPr>
          <w:p w:rsidR="00AC1663" w:rsidRPr="00AC1663" w:rsidRDefault="00AC1663" w:rsidP="00AC1663">
            <w:pPr>
              <w:widowControl/>
              <w:spacing w:line="375" w:lineRule="atLeast"/>
              <w:jc w:val="left"/>
              <w:rPr>
                <w:rFonts w:ascii="宋体" w:hAnsi="宋体" w:cs="宋体"/>
                <w:color w:val="4B4B4B"/>
                <w:kern w:val="0"/>
                <w:szCs w:val="21"/>
              </w:rPr>
            </w:pPr>
            <w:r w:rsidRPr="00AC1663">
              <w:rPr>
                <w:rFonts w:ascii="宋体" w:hAnsi="宋体" w:cs="宋体" w:hint="eastAsia"/>
                <w:color w:val="4B4B4B"/>
                <w:kern w:val="0"/>
                <w:szCs w:val="21"/>
              </w:rPr>
              <w:t>教育部</w:t>
            </w:r>
          </w:p>
        </w:tc>
      </w:tr>
      <w:tr w:rsidR="00AC1663" w:rsidRPr="00AC1663" w:rsidTr="00AC1663">
        <w:trPr>
          <w:tblCellSpacing w:w="0" w:type="dxa"/>
        </w:trPr>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发文字号：</w:t>
            </w:r>
          </w:p>
        </w:tc>
        <w:tc>
          <w:tcPr>
            <w:tcW w:w="0" w:type="auto"/>
            <w:hideMark/>
          </w:tcPr>
          <w:p w:rsidR="00AC1663" w:rsidRPr="00AC1663" w:rsidRDefault="00AC1663" w:rsidP="00AC1663">
            <w:pPr>
              <w:widowControl/>
              <w:spacing w:line="375" w:lineRule="atLeast"/>
              <w:jc w:val="left"/>
              <w:rPr>
                <w:rFonts w:ascii="宋体" w:hAnsi="宋体" w:cs="宋体"/>
                <w:color w:val="4B4B4B"/>
                <w:kern w:val="0"/>
                <w:szCs w:val="21"/>
              </w:rPr>
            </w:pPr>
            <w:r w:rsidRPr="00AC1663">
              <w:rPr>
                <w:rFonts w:ascii="宋体" w:hAnsi="宋体" w:cs="宋体" w:hint="eastAsia"/>
                <w:color w:val="4B4B4B"/>
                <w:kern w:val="0"/>
                <w:szCs w:val="21"/>
              </w:rPr>
              <w:t>教学〔2013〕3号</w:t>
            </w:r>
          </w:p>
        </w:tc>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信息类别：</w:t>
            </w:r>
          </w:p>
        </w:tc>
        <w:tc>
          <w:tcPr>
            <w:tcW w:w="0" w:type="auto"/>
            <w:gridSpan w:val="3"/>
            <w:hideMark/>
          </w:tcPr>
          <w:p w:rsidR="00AC1663" w:rsidRPr="00AC1663" w:rsidRDefault="00AC1663" w:rsidP="00AC1663">
            <w:pPr>
              <w:widowControl/>
              <w:spacing w:line="375" w:lineRule="atLeast"/>
              <w:jc w:val="left"/>
              <w:rPr>
                <w:rFonts w:ascii="宋体" w:hAnsi="宋体" w:cs="宋体"/>
                <w:color w:val="4B4B4B"/>
                <w:kern w:val="0"/>
                <w:szCs w:val="21"/>
              </w:rPr>
            </w:pPr>
            <w:r w:rsidRPr="00AC1663">
              <w:rPr>
                <w:rFonts w:ascii="宋体" w:hAnsi="宋体" w:cs="宋体" w:hint="eastAsia"/>
                <w:color w:val="4B4B4B"/>
                <w:kern w:val="0"/>
                <w:szCs w:val="21"/>
              </w:rPr>
              <w:t>职业教育与成人教育</w:t>
            </w:r>
          </w:p>
        </w:tc>
      </w:tr>
      <w:tr w:rsidR="00AC1663" w:rsidRPr="00AC1663" w:rsidTr="00AC1663">
        <w:trPr>
          <w:tblCellSpacing w:w="0" w:type="dxa"/>
        </w:trPr>
        <w:tc>
          <w:tcPr>
            <w:tcW w:w="500" w:type="pct"/>
            <w:hideMark/>
          </w:tcPr>
          <w:p w:rsidR="00AC1663" w:rsidRPr="00AC1663" w:rsidRDefault="00AC1663" w:rsidP="00AC1663">
            <w:pPr>
              <w:widowControl/>
              <w:spacing w:line="375" w:lineRule="atLeast"/>
              <w:jc w:val="left"/>
              <w:rPr>
                <w:rFonts w:ascii="宋体" w:hAnsi="宋体" w:cs="宋体"/>
                <w:b/>
                <w:bCs/>
                <w:color w:val="4B4B4B"/>
                <w:kern w:val="0"/>
                <w:szCs w:val="21"/>
              </w:rPr>
            </w:pPr>
            <w:r w:rsidRPr="00AC1663">
              <w:rPr>
                <w:rFonts w:ascii="宋体" w:hAnsi="宋体" w:cs="宋体" w:hint="eastAsia"/>
                <w:b/>
                <w:bCs/>
                <w:color w:val="4B4B4B"/>
                <w:kern w:val="0"/>
                <w:szCs w:val="21"/>
              </w:rPr>
              <w:t>内容概述：</w:t>
            </w:r>
          </w:p>
        </w:tc>
        <w:tc>
          <w:tcPr>
            <w:tcW w:w="0" w:type="auto"/>
            <w:gridSpan w:val="5"/>
            <w:hideMark/>
          </w:tcPr>
          <w:p w:rsidR="00AC1663" w:rsidRDefault="00AC1663" w:rsidP="00AC1663">
            <w:pPr>
              <w:widowControl/>
              <w:spacing w:line="375" w:lineRule="atLeast"/>
              <w:jc w:val="left"/>
              <w:rPr>
                <w:rFonts w:ascii="宋体" w:hAnsi="宋体" w:cs="宋体" w:hint="eastAsia"/>
                <w:color w:val="4B4B4B"/>
                <w:kern w:val="0"/>
                <w:szCs w:val="21"/>
              </w:rPr>
            </w:pPr>
            <w:r w:rsidRPr="00AC1663">
              <w:rPr>
                <w:rFonts w:ascii="宋体" w:hAnsi="宋体" w:cs="宋体" w:hint="eastAsia"/>
                <w:color w:val="4B4B4B"/>
                <w:kern w:val="0"/>
                <w:szCs w:val="21"/>
              </w:rPr>
              <w:t>为着力构建现代职业教育体系和技术技能人才培养“立交桥”，提高我国高素质技术技能人</w:t>
            </w:r>
          </w:p>
          <w:p w:rsidR="00AC1663" w:rsidRDefault="00AC1663" w:rsidP="00AC1663">
            <w:pPr>
              <w:widowControl/>
              <w:spacing w:line="375" w:lineRule="atLeast"/>
              <w:jc w:val="left"/>
              <w:rPr>
                <w:rFonts w:ascii="宋体" w:hAnsi="宋体" w:cs="宋体" w:hint="eastAsia"/>
                <w:color w:val="4B4B4B"/>
                <w:kern w:val="0"/>
                <w:szCs w:val="21"/>
              </w:rPr>
            </w:pPr>
            <w:r w:rsidRPr="00AC1663">
              <w:rPr>
                <w:rFonts w:ascii="宋体" w:hAnsi="宋体" w:cs="宋体" w:hint="eastAsia"/>
                <w:color w:val="4B4B4B"/>
                <w:kern w:val="0"/>
                <w:szCs w:val="21"/>
              </w:rPr>
              <w:t>才培养水平和国际竞争力，更好地服务全面建成小康社会的需要，提出积极推进高等职业教</w:t>
            </w:r>
          </w:p>
          <w:p w:rsidR="00AC1663" w:rsidRPr="00AC1663" w:rsidRDefault="00AC1663" w:rsidP="00AC1663">
            <w:pPr>
              <w:widowControl/>
              <w:spacing w:line="375" w:lineRule="atLeast"/>
              <w:jc w:val="left"/>
              <w:rPr>
                <w:rFonts w:ascii="宋体" w:hAnsi="宋体" w:cs="宋体"/>
                <w:color w:val="4B4B4B"/>
                <w:kern w:val="0"/>
                <w:szCs w:val="21"/>
              </w:rPr>
            </w:pPr>
            <w:bookmarkStart w:id="0" w:name="_GoBack"/>
            <w:bookmarkEnd w:id="0"/>
            <w:r w:rsidRPr="00AC1663">
              <w:rPr>
                <w:rFonts w:ascii="宋体" w:hAnsi="宋体" w:cs="宋体" w:hint="eastAsia"/>
                <w:color w:val="4B4B4B"/>
                <w:kern w:val="0"/>
                <w:szCs w:val="21"/>
              </w:rPr>
              <w:t>育考试招生制度改革指导意见。</w:t>
            </w:r>
          </w:p>
        </w:tc>
      </w:tr>
    </w:tbl>
    <w:p w:rsidR="00AC1663" w:rsidRPr="00AC1663" w:rsidRDefault="00AC1663" w:rsidP="00AC1663">
      <w:pPr>
        <w:widowControl/>
        <w:shd w:val="clear" w:color="auto" w:fill="FFFFFF"/>
        <w:jc w:val="left"/>
        <w:rPr>
          <w:rFonts w:ascii="宋体" w:hAnsi="宋体" w:cs="宋体"/>
          <w:vanish/>
          <w:kern w:val="0"/>
          <w:sz w:val="24"/>
        </w:rPr>
      </w:pPr>
      <w:r w:rsidRPr="00AC1663">
        <w:rPr>
          <w:rFonts w:ascii="宋体" w:hAnsi="宋体" w:cs="宋体"/>
          <w:vanish/>
          <w:kern w:val="0"/>
          <w:sz w:val="24"/>
        </w:rPr>
        <w:t>信息公开_部文</w:t>
      </w:r>
    </w:p>
    <w:p w:rsidR="00AC1663" w:rsidRPr="00AC1663" w:rsidRDefault="00AC1663" w:rsidP="00AC1663">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rPr>
      </w:pPr>
      <w:r w:rsidRPr="00AC1663">
        <w:rPr>
          <w:rFonts w:ascii="微软雅黑" w:eastAsia="微软雅黑" w:hAnsi="微软雅黑" w:cs="宋体" w:hint="eastAsia"/>
          <w:b/>
          <w:bCs/>
          <w:color w:val="4B4B4B"/>
          <w:kern w:val="0"/>
          <w:sz w:val="24"/>
        </w:rPr>
        <w:t>教学〔2013〕3号</w:t>
      </w:r>
    </w:p>
    <w:p w:rsidR="00AC1663" w:rsidRPr="00AC1663" w:rsidRDefault="00AC1663" w:rsidP="00AC1663">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AC1663">
        <w:rPr>
          <w:rFonts w:ascii="微软雅黑" w:eastAsia="微软雅黑" w:hAnsi="微软雅黑" w:cs="宋体" w:hint="eastAsia"/>
          <w:b/>
          <w:bCs/>
          <w:color w:val="4B4B4B"/>
          <w:kern w:val="36"/>
          <w:sz w:val="30"/>
          <w:szCs w:val="30"/>
        </w:rPr>
        <w:t>教育部关于积极推进高等职业教育</w:t>
      </w:r>
      <w:r w:rsidRPr="00AC1663">
        <w:rPr>
          <w:rFonts w:ascii="微软雅黑" w:eastAsia="微软雅黑" w:hAnsi="微软雅黑" w:cs="宋体" w:hint="eastAsia"/>
          <w:b/>
          <w:bCs/>
          <w:color w:val="4B4B4B"/>
          <w:kern w:val="36"/>
          <w:sz w:val="30"/>
          <w:szCs w:val="30"/>
        </w:rPr>
        <w:br/>
        <w:t>考试招生制度改革的指导意见</w:t>
      </w:r>
    </w:p>
    <w:p w:rsidR="00AC1663" w:rsidRPr="00AC1663" w:rsidRDefault="00AC1663" w:rsidP="00AC1663">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rPr>
      </w:pPr>
      <w:r w:rsidRPr="00AC1663">
        <w:rPr>
          <w:rFonts w:ascii="微软雅黑" w:eastAsia="微软雅黑" w:hAnsi="微软雅黑" w:cs="宋体" w:hint="eastAsia"/>
          <w:b/>
          <w:bCs/>
          <w:vanish/>
          <w:color w:val="4B4B4B"/>
          <w:kern w:val="0"/>
          <w:sz w:val="24"/>
        </w:rPr>
        <w:t>教学〔2013〕3号</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各省、自治区、直辖市高等学校招生委员会、教育厅（教委），新疆生产建设兵团教育局，有关部门（单位）教育司（局）：</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为贯彻落实党的十八大精神和教育规划纲要，顺应时代要求，着力构建现代职业教育体系和技术技能人才培养“立交桥”，提高我国高素质技术技能人才培养水平和国际竞争力，更好地服务全面建成小康社会的需要，现就积极推进高等职业教育考试招生制度改革提出以下指导意见：</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w:t>
      </w:r>
      <w:r w:rsidRPr="00AC1663">
        <w:rPr>
          <w:rFonts w:ascii="微软雅黑" w:eastAsia="微软雅黑" w:hAnsi="微软雅黑" w:cs="宋体" w:hint="eastAsia"/>
          <w:b/>
          <w:bCs/>
          <w:color w:val="4B4B4B"/>
          <w:kern w:val="0"/>
          <w:sz w:val="24"/>
        </w:rPr>
        <w:t>一、高等职业教育考试招生制度改革的总体要求</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高等职业教育考试招生制度改革，要立足适应经济社会发展需要，着眼优化教育结构和提高教育质量，遵循高等职业教育人才选拔和培养规律，促进普通高中和中等职业学校实施素质教育，为学生发挥个性潜能提供多样化选择。按照有利于科学选拔人才、促进学生健康发展和维护社会公平的原则，逐步与普通高校本科考试分离，重点探索“知识+技能”的考试评价办法，为学生接受高等职业</w:t>
      </w:r>
      <w:r w:rsidRPr="00AC1663">
        <w:rPr>
          <w:rFonts w:ascii="微软雅黑" w:eastAsia="微软雅黑" w:hAnsi="微软雅黑" w:cs="宋体" w:hint="eastAsia"/>
          <w:color w:val="4B4B4B"/>
          <w:kern w:val="0"/>
          <w:sz w:val="24"/>
        </w:rPr>
        <w:lastRenderedPageBreak/>
        <w:t>教育提供多样化入学形式。逐步形成省级政府为主统筹管理，学生自主选择、学校多元录取、社会有效监督的中国特色高等职业教育考试招生制度。</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w:t>
      </w:r>
      <w:r w:rsidRPr="00AC1663">
        <w:rPr>
          <w:rFonts w:ascii="微软雅黑" w:eastAsia="微软雅黑" w:hAnsi="微软雅黑" w:cs="宋体" w:hint="eastAsia"/>
          <w:b/>
          <w:bCs/>
          <w:color w:val="4B4B4B"/>
          <w:kern w:val="0"/>
          <w:sz w:val="24"/>
        </w:rPr>
        <w:t>二、建立和完善多样化的高等职业教育考试招生方式</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1.建立以高考为基础的考试招生办法。对报考高等职业学校的考生增加技能考查内容，招生学校依据考生相关文化成绩和技能成绩，参考综合素质评价，择优录取。相关考试科目、内容、方式和录取办法由省级高等学校招生委员会确定。技能科目主要考查考生通用技术基础、职业倾向和职业潜能等内容，可由省级高等学校招生委员会组织统一考试，也可使用考生普通高中学业水平考试有关科目成绩或由招生学校组织校考。文化成绩可结合考生普通高中学业水平考试成绩，使用考生部分高考科目成绩或由省级高等学校招生委员会另行组织高等职业教育入学统一考试。</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2.改革单独考试招生办法。国家示范性、省级示范性高等职业学校和现代学徒制试点学校等，可于高考前，在本地符合当年高考报名条件的考生范围内，单独组织文化和技能考试，并根据考生文化成绩和技能成绩，参考考生普通高中综合素质评价结果，择优录取。文化和技能的考试科目、内容、方式和录取办法由招生学校确定，并报省级高等学校招生委员会备案。进行单独考试招生的学校由所在地的省级教育行政部门确定。鼓励技术密集型产业集中地区及高等教育相对发达地区，适度扩大单独考试招生的高等职业学校范围和录取规模。</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3.探索综合评价招生办法。办学定位明确及招生管理规范的高等职业学校的农林、水利、地矿等行业特色鲜明且社会急需的专业，可于高考前，在本地符合</w:t>
      </w:r>
      <w:r w:rsidRPr="00AC1663">
        <w:rPr>
          <w:rFonts w:ascii="微软雅黑" w:eastAsia="微软雅黑" w:hAnsi="微软雅黑" w:cs="宋体" w:hint="eastAsia"/>
          <w:color w:val="4B4B4B"/>
          <w:kern w:val="0"/>
          <w:sz w:val="24"/>
        </w:rPr>
        <w:lastRenderedPageBreak/>
        <w:t>当年高考报名条件的考生范围内，依据考生普通高中学业水平考试成绩和综合素质评价结果，综合评价，择优录取。招生学校、专业及规模由学校所在地的省级教育行政部门确定。</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4.完善面向中职毕业生的技能考试招生办法。各省级高等学校招生委员会要加强中等职业学校毕业生对口升高职的专业技能考试，进一步完善以专业技能成绩为主要录取依据的招生办法。要充分考虑现代职业教育体系建设对中、高等职业学校的衔接要求，以及中等职业学校毕业生的升学需求，合理确定招生规模。</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5.规范中高职贯通的招生办法。高等职业学校要进一步优化面向初中应届毕业生的三二分段制和五年一贯制招生专业结构，以艺术、体育、护理、学前教育以及技术含量高、培养周期长的专业为主，合理安排招生计划。三二分段制学生完成中等职业教育阶段培养任务后，通过省级高等学校招生委员会组织的考试或经省级高等学校招生委员会授权的高等职业学校组织的考试的，可被有关高等职业学校录取。五年一贯制学生完成中等职业教育阶段学习任务并达到相关要求后，可直接进入高等职业教育阶段学习。</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6.实施技能拔尖人才免试招生办法。对于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可由有关高等职业学校免试录取。</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lastRenderedPageBreak/>
        <w:t xml:space="preserve">　　</w:t>
      </w:r>
      <w:r w:rsidRPr="00AC1663">
        <w:rPr>
          <w:rFonts w:ascii="微软雅黑" w:eastAsia="微软雅黑" w:hAnsi="微软雅黑" w:cs="宋体" w:hint="eastAsia"/>
          <w:b/>
          <w:bCs/>
          <w:color w:val="4B4B4B"/>
          <w:kern w:val="0"/>
          <w:sz w:val="24"/>
        </w:rPr>
        <w:t>三、建立健全以省级政府为主的管理体制</w:t>
      </w:r>
    </w:p>
    <w:p w:rsidR="00AC1663" w:rsidRPr="00AC1663" w:rsidRDefault="00AC1663" w:rsidP="00AC166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 xml:space="preserve">　　高等职业教育考试招生制度改革事关考生切身利益、社会稳定和教育发展大局，涉及面广、影响因素多，要以省级政府为主统筹管理和组织实施。各省（区、市）要加强组织领导，统筹规划，周密部署，抓紧制定配套政策和实施方案，并报教育部备案。要认真总结已有工作经验，充分借鉴国际国内有益做法，不断完善考试科目、内容、方式和录取办法，提高高等职业教育人才选拔的科学性。要深入实施高校招生阳光工程，进一步加大信息公开力度，确保公平公正。要全面深入宣传改革的意义和相关政策，争取各方理解支持，为改革平稳顺利实施营造良好社会氛围。</w:t>
      </w:r>
    </w:p>
    <w:p w:rsidR="00AC1663" w:rsidRPr="00AC1663" w:rsidRDefault="00AC1663" w:rsidP="00AC166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教育部</w:t>
      </w:r>
    </w:p>
    <w:p w:rsidR="00AC1663" w:rsidRPr="00AC1663" w:rsidRDefault="00AC1663" w:rsidP="00AC166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rPr>
      </w:pPr>
      <w:r w:rsidRPr="00AC1663">
        <w:rPr>
          <w:rFonts w:ascii="微软雅黑" w:eastAsia="微软雅黑" w:hAnsi="微软雅黑" w:cs="宋体" w:hint="eastAsia"/>
          <w:color w:val="4B4B4B"/>
          <w:kern w:val="0"/>
          <w:sz w:val="24"/>
        </w:rPr>
        <w:t>2013年4月15日</w:t>
      </w:r>
    </w:p>
    <w:p w:rsidR="00F23DD9" w:rsidRDefault="00F23DD9"/>
    <w:sectPr w:rsidR="00F23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63"/>
    <w:rsid w:val="00AC1663"/>
    <w:rsid w:val="00C91572"/>
    <w:rsid w:val="00F23DD9"/>
    <w:rsid w:val="00F6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D8"/>
    <w:pPr>
      <w:widowControl w:val="0"/>
      <w:jc w:val="both"/>
    </w:pPr>
    <w:rPr>
      <w:kern w:val="2"/>
      <w:sz w:val="21"/>
      <w:szCs w:val="24"/>
    </w:rPr>
  </w:style>
  <w:style w:type="paragraph" w:styleId="1">
    <w:name w:val="heading 1"/>
    <w:basedOn w:val="a"/>
    <w:next w:val="a"/>
    <w:link w:val="1Char"/>
    <w:uiPriority w:val="9"/>
    <w:qFormat/>
    <w:rsid w:val="00F624D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24D8"/>
    <w:rPr>
      <w:b/>
      <w:kern w:val="44"/>
      <w:sz w:val="44"/>
      <w:szCs w:val="24"/>
    </w:rPr>
  </w:style>
  <w:style w:type="paragraph" w:styleId="a3">
    <w:name w:val="List Paragraph"/>
    <w:basedOn w:val="a"/>
    <w:uiPriority w:val="34"/>
    <w:qFormat/>
    <w:rsid w:val="00F624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4D8"/>
    <w:pPr>
      <w:widowControl w:val="0"/>
      <w:jc w:val="both"/>
    </w:pPr>
    <w:rPr>
      <w:kern w:val="2"/>
      <w:sz w:val="21"/>
      <w:szCs w:val="24"/>
    </w:rPr>
  </w:style>
  <w:style w:type="paragraph" w:styleId="1">
    <w:name w:val="heading 1"/>
    <w:basedOn w:val="a"/>
    <w:next w:val="a"/>
    <w:link w:val="1Char"/>
    <w:uiPriority w:val="9"/>
    <w:qFormat/>
    <w:rsid w:val="00F624D8"/>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24D8"/>
    <w:rPr>
      <w:b/>
      <w:kern w:val="44"/>
      <w:sz w:val="44"/>
      <w:szCs w:val="24"/>
    </w:rPr>
  </w:style>
  <w:style w:type="paragraph" w:styleId="a3">
    <w:name w:val="List Paragraph"/>
    <w:basedOn w:val="a"/>
    <w:uiPriority w:val="34"/>
    <w:qFormat/>
    <w:rsid w:val="00F624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51812">
      <w:bodyDiv w:val="1"/>
      <w:marLeft w:val="0"/>
      <w:marRight w:val="0"/>
      <w:marTop w:val="0"/>
      <w:marBottom w:val="0"/>
      <w:divBdr>
        <w:top w:val="none" w:sz="0" w:space="0" w:color="auto"/>
        <w:left w:val="none" w:sz="0" w:space="0" w:color="auto"/>
        <w:bottom w:val="none" w:sz="0" w:space="0" w:color="auto"/>
        <w:right w:val="none" w:sz="0" w:space="0" w:color="auto"/>
      </w:divBdr>
      <w:divsChild>
        <w:div w:id="1449545543">
          <w:marLeft w:val="0"/>
          <w:marRight w:val="0"/>
          <w:marTop w:val="0"/>
          <w:marBottom w:val="0"/>
          <w:divBdr>
            <w:top w:val="none" w:sz="0" w:space="0" w:color="auto"/>
            <w:left w:val="none" w:sz="0" w:space="0" w:color="auto"/>
            <w:bottom w:val="none" w:sz="0" w:space="0" w:color="auto"/>
            <w:right w:val="none" w:sz="0" w:space="0" w:color="auto"/>
          </w:divBdr>
          <w:divsChild>
            <w:div w:id="1019817215">
              <w:marLeft w:val="0"/>
              <w:marRight w:val="0"/>
              <w:marTop w:val="0"/>
              <w:marBottom w:val="0"/>
              <w:divBdr>
                <w:top w:val="single" w:sz="6" w:space="31" w:color="BCBCBC"/>
                <w:left w:val="single" w:sz="6" w:space="31" w:color="BCBCBC"/>
                <w:bottom w:val="single" w:sz="6" w:space="15" w:color="BCBCBC"/>
                <w:right w:val="single" w:sz="6" w:space="31" w:color="BCBCBC"/>
              </w:divBdr>
              <w:divsChild>
                <w:div w:id="897590413">
                  <w:marLeft w:val="0"/>
                  <w:marRight w:val="0"/>
                  <w:marTop w:val="0"/>
                  <w:marBottom w:val="0"/>
                  <w:divBdr>
                    <w:top w:val="none" w:sz="0" w:space="0" w:color="auto"/>
                    <w:left w:val="none" w:sz="0" w:space="0" w:color="auto"/>
                    <w:bottom w:val="none" w:sz="0" w:space="0" w:color="auto"/>
                    <w:right w:val="none" w:sz="0" w:space="0" w:color="auto"/>
                  </w:divBdr>
                  <w:divsChild>
                    <w:div w:id="1747025886">
                      <w:marLeft w:val="0"/>
                      <w:marRight w:val="0"/>
                      <w:marTop w:val="0"/>
                      <w:marBottom w:val="0"/>
                      <w:divBdr>
                        <w:top w:val="none" w:sz="0" w:space="0" w:color="auto"/>
                        <w:left w:val="none" w:sz="0" w:space="0" w:color="auto"/>
                        <w:bottom w:val="none" w:sz="0" w:space="0" w:color="auto"/>
                        <w:right w:val="none" w:sz="0" w:space="0" w:color="auto"/>
                      </w:divBdr>
                    </w:div>
                    <w:div w:id="122582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2018-03-02T07:14:00Z</dcterms:created>
  <dcterms:modified xsi:type="dcterms:W3CDTF">2018-03-02T07:16:00Z</dcterms:modified>
</cp:coreProperties>
</file>